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E54B" w14:textId="77777777" w:rsidR="00573A1A" w:rsidRPr="00507978" w:rsidRDefault="00573A1A" w:rsidP="00573A1A">
      <w:pPr>
        <w:rPr>
          <w:b/>
          <w:bCs/>
        </w:rPr>
      </w:pPr>
      <w:r w:rsidRPr="00507978">
        <w:rPr>
          <w:b/>
          <w:bCs/>
        </w:rPr>
        <w:t>Appendix 1</w:t>
      </w:r>
    </w:p>
    <w:p w14:paraId="78414F20" w14:textId="55498BAD" w:rsidR="00573A1A" w:rsidRPr="00507978" w:rsidRDefault="00573A1A" w:rsidP="00573A1A">
      <w:pPr>
        <w:pBdr>
          <w:bottom w:val="single" w:sz="6" w:space="1" w:color="auto"/>
        </w:pBdr>
        <w:rPr>
          <w:b/>
          <w:bCs/>
        </w:rPr>
      </w:pPr>
      <w:r w:rsidRPr="00507978">
        <w:rPr>
          <w:b/>
          <w:bCs/>
        </w:rPr>
        <w:t>Parish Council Chairman</w:t>
      </w:r>
      <w:r>
        <w:rPr>
          <w:b/>
          <w:bCs/>
        </w:rPr>
        <w:t>’</w:t>
      </w:r>
      <w:r w:rsidRPr="00507978">
        <w:rPr>
          <w:b/>
          <w:bCs/>
        </w:rPr>
        <w:t xml:space="preserve">s Report, Cllr D </w:t>
      </w:r>
      <w:r>
        <w:rPr>
          <w:b/>
          <w:bCs/>
        </w:rPr>
        <w:t>Hewitt</w:t>
      </w:r>
      <w:r w:rsidRPr="00507978">
        <w:rPr>
          <w:b/>
          <w:bCs/>
        </w:rPr>
        <w:t xml:space="preserve">, </w:t>
      </w:r>
      <w:r>
        <w:rPr>
          <w:b/>
          <w:bCs/>
        </w:rPr>
        <w:t>May 2022.</w:t>
      </w:r>
    </w:p>
    <w:p w14:paraId="1E72F738" w14:textId="0383F048" w:rsidR="00573A1A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Meetings</w:t>
      </w:r>
      <w:r w:rsidRPr="00171E99">
        <w:rPr>
          <w:rFonts w:cs="Calibri"/>
        </w:rPr>
        <w:t xml:space="preserve"> - The Parish Council (PC) held</w:t>
      </w:r>
      <w:r w:rsidR="00477475">
        <w:rPr>
          <w:rFonts w:cs="Calibri"/>
        </w:rPr>
        <w:t xml:space="preserve"> 11 meetings during 2021 and 2022. </w:t>
      </w:r>
      <w:r w:rsidRPr="00171E99">
        <w:rPr>
          <w:rFonts w:cs="Calibri"/>
        </w:rPr>
        <w:t xml:space="preserve">All were scheduled in advance and mostly held on the first Monday of the month. </w:t>
      </w:r>
      <w:r w:rsidR="00477475">
        <w:rPr>
          <w:rFonts w:cs="Calibri"/>
        </w:rPr>
        <w:t xml:space="preserve">There has been exceptional public support through this year with the public attendance </w:t>
      </w:r>
      <w:r w:rsidR="00FA2E9A">
        <w:rPr>
          <w:rFonts w:cs="Calibri"/>
        </w:rPr>
        <w:t>at recent</w:t>
      </w:r>
      <w:r w:rsidR="00477475">
        <w:rPr>
          <w:rFonts w:cs="Calibri"/>
        </w:rPr>
        <w:t xml:space="preserve"> meetings exceeding 10.</w:t>
      </w:r>
      <w:r w:rsidR="00FA2E9A">
        <w:rPr>
          <w:rFonts w:cs="Calibri"/>
        </w:rPr>
        <w:t xml:space="preserve"> </w:t>
      </w:r>
    </w:p>
    <w:p w14:paraId="77A5AEE7" w14:textId="39C817ED" w:rsidR="00FA2E9A" w:rsidRDefault="00FA2E9A" w:rsidP="00573A1A">
      <w:pPr>
        <w:spacing w:after="0"/>
        <w:rPr>
          <w:rFonts w:cs="Calibri"/>
        </w:rPr>
      </w:pPr>
      <w:r>
        <w:rPr>
          <w:rFonts w:cs="Calibri"/>
        </w:rPr>
        <w:t>Overall, the PC has experienced a very difficult year with the regrettable resignations of the Chair, Clerk and 2 x councillors. However, the determination of the current councillors has enabled to PC to continue to perform its duties.</w:t>
      </w:r>
    </w:p>
    <w:p w14:paraId="0A0B6550" w14:textId="77777777" w:rsidR="00477475" w:rsidRPr="00171E99" w:rsidRDefault="00477475" w:rsidP="00573A1A">
      <w:pPr>
        <w:spacing w:after="0"/>
        <w:rPr>
          <w:rFonts w:cs="Calibri"/>
        </w:rPr>
      </w:pPr>
    </w:p>
    <w:p w14:paraId="3B82D478" w14:textId="286799F2" w:rsidR="00573A1A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Councillors</w:t>
      </w:r>
      <w:r w:rsidRPr="00171E99">
        <w:rPr>
          <w:rFonts w:cs="Calibri"/>
          <w:b/>
        </w:rPr>
        <w:t xml:space="preserve"> –</w:t>
      </w:r>
      <w:r w:rsidRPr="00171E99">
        <w:rPr>
          <w:rFonts w:cs="Calibri"/>
        </w:rPr>
        <w:t xml:space="preserve"> There are currently </w:t>
      </w:r>
      <w:r w:rsidR="00477475">
        <w:rPr>
          <w:rFonts w:cs="Calibri"/>
        </w:rPr>
        <w:t>5</w:t>
      </w:r>
      <w:r w:rsidRPr="00171E99">
        <w:rPr>
          <w:rFonts w:cs="Calibri"/>
        </w:rPr>
        <w:t xml:space="preserve"> elected Councillors; David </w:t>
      </w:r>
      <w:r w:rsidR="00477475">
        <w:rPr>
          <w:rFonts w:cs="Calibri"/>
        </w:rPr>
        <w:t>Hewitt</w:t>
      </w:r>
      <w:r w:rsidRPr="00171E99">
        <w:rPr>
          <w:rFonts w:cs="Calibri"/>
        </w:rPr>
        <w:t xml:space="preserve"> (Chair), Joan Raine (Vice Chair), </w:t>
      </w:r>
      <w:r w:rsidR="00FA2E9A">
        <w:rPr>
          <w:rFonts w:cs="Calibri"/>
        </w:rPr>
        <w:t>Virginia</w:t>
      </w:r>
      <w:r w:rsidR="002D7FEB">
        <w:rPr>
          <w:rFonts w:cs="Calibri"/>
        </w:rPr>
        <w:t xml:space="preserve"> (Ginny)</w:t>
      </w:r>
      <w:r w:rsidRPr="00171E99">
        <w:rPr>
          <w:rFonts w:cs="Calibri"/>
        </w:rPr>
        <w:t xml:space="preserve"> Holroyd, Andrew (Pandy) Beatham</w:t>
      </w:r>
      <w:r w:rsidR="00477475">
        <w:rPr>
          <w:rFonts w:cs="Calibri"/>
        </w:rPr>
        <w:t xml:space="preserve"> and Debbie McCall</w:t>
      </w:r>
      <w:r w:rsidRPr="00171E99">
        <w:rPr>
          <w:rFonts w:cs="Calibri"/>
        </w:rPr>
        <w:t xml:space="preserve">. In </w:t>
      </w:r>
      <w:r w:rsidR="00477475" w:rsidRPr="00171E99">
        <w:rPr>
          <w:rFonts w:cs="Calibri"/>
        </w:rPr>
        <w:t>addition,</w:t>
      </w:r>
      <w:r w:rsidRPr="00171E99">
        <w:rPr>
          <w:rFonts w:cs="Calibri"/>
        </w:rPr>
        <w:t xml:space="preserve"> there are 2 </w:t>
      </w:r>
      <w:r w:rsidR="00477475">
        <w:rPr>
          <w:rFonts w:cs="Calibri"/>
        </w:rPr>
        <w:t>casual vacancies to be filled.</w:t>
      </w:r>
    </w:p>
    <w:p w14:paraId="65689418" w14:textId="77777777" w:rsidR="00477475" w:rsidRPr="00171E99" w:rsidRDefault="00477475" w:rsidP="00573A1A">
      <w:pPr>
        <w:spacing w:after="0"/>
        <w:rPr>
          <w:rFonts w:cs="Calibri"/>
        </w:rPr>
      </w:pPr>
    </w:p>
    <w:p w14:paraId="251DD11E" w14:textId="22E69094" w:rsidR="00573A1A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Planning</w:t>
      </w:r>
      <w:r w:rsidRPr="00171E99">
        <w:rPr>
          <w:rFonts w:cs="Calibri"/>
          <w:b/>
        </w:rPr>
        <w:t xml:space="preserve"> - </w:t>
      </w:r>
      <w:r w:rsidRPr="00171E99">
        <w:rPr>
          <w:rFonts w:cs="Calibri"/>
        </w:rPr>
        <w:t xml:space="preserve">The PC is a consultee on all planning applications in the Parish. In total </w:t>
      </w:r>
      <w:r w:rsidR="00390EFF">
        <w:rPr>
          <w:rFonts w:cs="Calibri"/>
        </w:rPr>
        <w:t>29</w:t>
      </w:r>
      <w:r w:rsidRPr="00171E99">
        <w:rPr>
          <w:rFonts w:cs="Calibri"/>
        </w:rPr>
        <w:t xml:space="preserve"> Planning applications were submitted which was a </w:t>
      </w:r>
      <w:r w:rsidR="00390EFF">
        <w:rPr>
          <w:rFonts w:cs="Calibri"/>
        </w:rPr>
        <w:t>decrease on the previous year’s numbers (32).</w:t>
      </w:r>
    </w:p>
    <w:p w14:paraId="02453FC8" w14:textId="77777777" w:rsidR="00390EFF" w:rsidRPr="00171E99" w:rsidRDefault="00390EFF" w:rsidP="00573A1A">
      <w:pPr>
        <w:spacing w:after="0"/>
        <w:rPr>
          <w:rFonts w:cs="Calibri"/>
        </w:rPr>
      </w:pPr>
    </w:p>
    <w:p w14:paraId="03EC375B" w14:textId="77777777" w:rsidR="00573A1A" w:rsidRPr="00171E99" w:rsidRDefault="00573A1A" w:rsidP="00573A1A">
      <w:pPr>
        <w:spacing w:after="0"/>
        <w:rPr>
          <w:rFonts w:cs="Calibri"/>
        </w:rPr>
      </w:pPr>
      <w:r w:rsidRPr="00171E99">
        <w:rPr>
          <w:rFonts w:cs="Calibri"/>
        </w:rPr>
        <w:t>Application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12"/>
        <w:gridCol w:w="1800"/>
        <w:gridCol w:w="1792"/>
        <w:gridCol w:w="1817"/>
      </w:tblGrid>
      <w:tr w:rsidR="00573A1A" w:rsidRPr="00997182" w14:paraId="0E304A0D" w14:textId="77777777" w:rsidTr="000D5849">
        <w:tc>
          <w:tcPr>
            <w:tcW w:w="1848" w:type="dxa"/>
            <w:shd w:val="pct10" w:color="auto" w:fill="auto"/>
          </w:tcPr>
          <w:p w14:paraId="18144E2A" w14:textId="77777777" w:rsidR="00573A1A" w:rsidRPr="00997182" w:rsidRDefault="00573A1A" w:rsidP="000D5849">
            <w:pPr>
              <w:rPr>
                <w:rFonts w:cs="Calibri"/>
                <w:b/>
              </w:rPr>
            </w:pPr>
            <w:r w:rsidRPr="00997182">
              <w:rPr>
                <w:rFonts w:cs="Calibri"/>
                <w:b/>
              </w:rPr>
              <w:t>Authority</w:t>
            </w:r>
          </w:p>
        </w:tc>
        <w:tc>
          <w:tcPr>
            <w:tcW w:w="1848" w:type="dxa"/>
            <w:shd w:val="pct10" w:color="auto" w:fill="auto"/>
          </w:tcPr>
          <w:p w14:paraId="5E076C42" w14:textId="77777777" w:rsidR="00573A1A" w:rsidRPr="00997182" w:rsidRDefault="00573A1A" w:rsidP="000D5849">
            <w:pPr>
              <w:rPr>
                <w:rFonts w:cs="Calibri"/>
                <w:b/>
              </w:rPr>
            </w:pPr>
            <w:r w:rsidRPr="00997182">
              <w:rPr>
                <w:rFonts w:cs="Calibri"/>
                <w:b/>
              </w:rPr>
              <w:t>No. Applications</w:t>
            </w:r>
          </w:p>
        </w:tc>
        <w:tc>
          <w:tcPr>
            <w:tcW w:w="1848" w:type="dxa"/>
            <w:shd w:val="pct10" w:color="auto" w:fill="auto"/>
          </w:tcPr>
          <w:p w14:paraId="5DD1195C" w14:textId="77777777" w:rsidR="00573A1A" w:rsidRPr="00997182" w:rsidRDefault="00573A1A" w:rsidP="000D5849">
            <w:pPr>
              <w:rPr>
                <w:rFonts w:cs="Calibri"/>
                <w:b/>
              </w:rPr>
            </w:pPr>
            <w:r w:rsidRPr="00997182">
              <w:rPr>
                <w:rFonts w:cs="Calibri"/>
                <w:b/>
              </w:rPr>
              <w:t>Supported</w:t>
            </w:r>
          </w:p>
        </w:tc>
        <w:tc>
          <w:tcPr>
            <w:tcW w:w="1849" w:type="dxa"/>
            <w:shd w:val="pct10" w:color="auto" w:fill="auto"/>
          </w:tcPr>
          <w:p w14:paraId="39C6C227" w14:textId="77777777" w:rsidR="00573A1A" w:rsidRPr="00997182" w:rsidRDefault="00573A1A" w:rsidP="000D5849">
            <w:pPr>
              <w:rPr>
                <w:rFonts w:cs="Calibri"/>
                <w:b/>
              </w:rPr>
            </w:pPr>
            <w:r w:rsidRPr="00997182">
              <w:rPr>
                <w:rFonts w:cs="Calibri"/>
                <w:b/>
              </w:rPr>
              <w:t>Objected</w:t>
            </w:r>
          </w:p>
        </w:tc>
        <w:tc>
          <w:tcPr>
            <w:tcW w:w="1849" w:type="dxa"/>
            <w:shd w:val="pct10" w:color="auto" w:fill="auto"/>
          </w:tcPr>
          <w:p w14:paraId="191322F2" w14:textId="5D801517" w:rsidR="00573A1A" w:rsidRPr="00997182" w:rsidRDefault="00390EFF" w:rsidP="000D584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 response/No objection</w:t>
            </w:r>
          </w:p>
        </w:tc>
      </w:tr>
      <w:tr w:rsidR="00573A1A" w:rsidRPr="00997182" w14:paraId="2EFAFC14" w14:textId="77777777" w:rsidTr="000D5849">
        <w:tc>
          <w:tcPr>
            <w:tcW w:w="1848" w:type="dxa"/>
            <w:shd w:val="clear" w:color="auto" w:fill="auto"/>
          </w:tcPr>
          <w:p w14:paraId="6D9587AC" w14:textId="77777777" w:rsidR="00573A1A" w:rsidRPr="00997182" w:rsidRDefault="00573A1A" w:rsidP="000D5849">
            <w:pPr>
              <w:rPr>
                <w:rFonts w:cs="Calibri"/>
              </w:rPr>
            </w:pPr>
            <w:r w:rsidRPr="00997182">
              <w:rPr>
                <w:rFonts w:cs="Calibri"/>
              </w:rPr>
              <w:t>YDNPA</w:t>
            </w:r>
          </w:p>
        </w:tc>
        <w:tc>
          <w:tcPr>
            <w:tcW w:w="1848" w:type="dxa"/>
            <w:shd w:val="clear" w:color="auto" w:fill="auto"/>
          </w:tcPr>
          <w:p w14:paraId="1C82BF1B" w14:textId="71B72232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14:paraId="5EEA3EC1" w14:textId="45958ABA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14:paraId="5B766B0C" w14:textId="030DE3CE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68F58BA4" w14:textId="73E0A1B3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73A1A" w:rsidRPr="00997182" w14:paraId="2AD1F946" w14:textId="77777777" w:rsidTr="000D5849">
        <w:tc>
          <w:tcPr>
            <w:tcW w:w="1848" w:type="dxa"/>
            <w:shd w:val="clear" w:color="auto" w:fill="auto"/>
          </w:tcPr>
          <w:p w14:paraId="6DA55B83" w14:textId="77777777" w:rsidR="00573A1A" w:rsidRPr="00997182" w:rsidRDefault="00573A1A" w:rsidP="000D5849">
            <w:pPr>
              <w:rPr>
                <w:rFonts w:cs="Calibri"/>
              </w:rPr>
            </w:pPr>
            <w:r w:rsidRPr="00997182">
              <w:rPr>
                <w:rFonts w:cs="Calibri"/>
              </w:rPr>
              <w:t>Eden DC</w:t>
            </w:r>
          </w:p>
        </w:tc>
        <w:tc>
          <w:tcPr>
            <w:tcW w:w="1848" w:type="dxa"/>
            <w:shd w:val="clear" w:color="auto" w:fill="auto"/>
          </w:tcPr>
          <w:p w14:paraId="7BB49F08" w14:textId="3BA5128A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5B45EC37" w14:textId="11F047E4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14:paraId="2483F2FE" w14:textId="62FDA8D1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750DBB29" w14:textId="619D1748" w:rsidR="00573A1A" w:rsidRPr="00997182" w:rsidRDefault="00390EFF" w:rsidP="000D5849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5454C320" w14:textId="77777777" w:rsidR="00573A1A" w:rsidRPr="00171E99" w:rsidRDefault="00573A1A" w:rsidP="00573A1A">
      <w:pPr>
        <w:spacing w:after="0"/>
        <w:rPr>
          <w:rFonts w:cs="Calibri"/>
        </w:rPr>
      </w:pPr>
    </w:p>
    <w:p w14:paraId="133AD08F" w14:textId="1A790C7F" w:rsidR="001D03F5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Finances</w:t>
      </w:r>
      <w:r w:rsidRPr="00171E99">
        <w:rPr>
          <w:rFonts w:cs="Calibri"/>
          <w:b/>
        </w:rPr>
        <w:t xml:space="preserve"> - </w:t>
      </w:r>
      <w:r w:rsidRPr="00171E99">
        <w:rPr>
          <w:rFonts w:cs="Calibri"/>
        </w:rPr>
        <w:t xml:space="preserve">The PC had </w:t>
      </w:r>
      <w:r w:rsidR="001D03F5">
        <w:rPr>
          <w:rFonts w:cs="Calibri"/>
        </w:rPr>
        <w:t>£21,688 total annual gross income</w:t>
      </w:r>
      <w:r w:rsidRPr="00171E99">
        <w:rPr>
          <w:rFonts w:cs="Calibri"/>
        </w:rPr>
        <w:t xml:space="preserve"> and £</w:t>
      </w:r>
      <w:r w:rsidR="001D03F5">
        <w:rPr>
          <w:rFonts w:cs="Calibri"/>
        </w:rPr>
        <w:t>10.278</w:t>
      </w:r>
      <w:r w:rsidRPr="00171E99">
        <w:rPr>
          <w:rFonts w:cs="Calibri"/>
        </w:rPr>
        <w:t xml:space="preserve"> of expenditure</w:t>
      </w:r>
      <w:r w:rsidR="001D03F5">
        <w:rPr>
          <w:rFonts w:cs="Calibri"/>
        </w:rPr>
        <w:t>.</w:t>
      </w:r>
    </w:p>
    <w:p w14:paraId="6873870D" w14:textId="77777777" w:rsidR="001D03F5" w:rsidRDefault="001D03F5" w:rsidP="00573A1A">
      <w:pPr>
        <w:spacing w:after="0"/>
        <w:rPr>
          <w:rFonts w:cs="Calibri"/>
        </w:rPr>
      </w:pPr>
    </w:p>
    <w:p w14:paraId="30E113DE" w14:textId="7D34AA3B" w:rsidR="001D03F5" w:rsidRDefault="001D03F5" w:rsidP="00573A1A">
      <w:pPr>
        <w:spacing w:after="0"/>
        <w:rPr>
          <w:rFonts w:cs="Calibri"/>
        </w:rPr>
      </w:pPr>
      <w:r>
        <w:rPr>
          <w:rFonts w:cs="Calibri"/>
        </w:rPr>
        <w:t xml:space="preserve">End of financial year balances were - </w:t>
      </w:r>
    </w:p>
    <w:p w14:paraId="2F24043F" w14:textId="525FCA73" w:rsidR="001D03F5" w:rsidRDefault="001D03F5" w:rsidP="00573A1A">
      <w:pPr>
        <w:spacing w:after="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82"/>
      </w:tblGrid>
      <w:tr w:rsidR="001D03F5" w:rsidRPr="001D03F5" w14:paraId="46381977" w14:textId="77777777" w:rsidTr="001D03F5">
        <w:trPr>
          <w:trHeight w:val="224"/>
        </w:trPr>
        <w:tc>
          <w:tcPr>
            <w:tcW w:w="3685" w:type="dxa"/>
            <w:noWrap/>
            <w:hideMark/>
          </w:tcPr>
          <w:p w14:paraId="7112123D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Cumberland BS (Current)</w:t>
            </w:r>
          </w:p>
        </w:tc>
        <w:tc>
          <w:tcPr>
            <w:tcW w:w="1882" w:type="dxa"/>
            <w:noWrap/>
            <w:hideMark/>
          </w:tcPr>
          <w:p w14:paraId="67FF3F9B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£11,294.16</w:t>
            </w:r>
          </w:p>
        </w:tc>
      </w:tr>
      <w:tr w:rsidR="001D03F5" w:rsidRPr="001D03F5" w14:paraId="5B7863AC" w14:textId="77777777" w:rsidTr="001D03F5">
        <w:trPr>
          <w:trHeight w:val="224"/>
        </w:trPr>
        <w:tc>
          <w:tcPr>
            <w:tcW w:w="3685" w:type="dxa"/>
            <w:noWrap/>
            <w:hideMark/>
          </w:tcPr>
          <w:p w14:paraId="51343C49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Penrith BS General Reserve</w:t>
            </w:r>
          </w:p>
        </w:tc>
        <w:tc>
          <w:tcPr>
            <w:tcW w:w="1882" w:type="dxa"/>
            <w:noWrap/>
            <w:hideMark/>
          </w:tcPr>
          <w:p w14:paraId="654321E6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£9,584.27</w:t>
            </w:r>
          </w:p>
        </w:tc>
      </w:tr>
      <w:tr w:rsidR="001D03F5" w:rsidRPr="001D03F5" w14:paraId="1FE39CDB" w14:textId="77777777" w:rsidTr="001D03F5">
        <w:trPr>
          <w:trHeight w:val="224"/>
        </w:trPr>
        <w:tc>
          <w:tcPr>
            <w:tcW w:w="3685" w:type="dxa"/>
            <w:noWrap/>
            <w:hideMark/>
          </w:tcPr>
          <w:p w14:paraId="1EADA529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Penrith BS Police House Reserve</w:t>
            </w:r>
          </w:p>
        </w:tc>
        <w:tc>
          <w:tcPr>
            <w:tcW w:w="1882" w:type="dxa"/>
            <w:noWrap/>
            <w:hideMark/>
          </w:tcPr>
          <w:p w14:paraId="1BC2EBFA" w14:textId="77777777" w:rsidR="001D03F5" w:rsidRPr="001D03F5" w:rsidRDefault="001D03F5" w:rsidP="001D03F5">
            <w:pPr>
              <w:rPr>
                <w:rFonts w:cs="Calibri"/>
              </w:rPr>
            </w:pPr>
            <w:r w:rsidRPr="001D03F5">
              <w:rPr>
                <w:rFonts w:cs="Calibri"/>
              </w:rPr>
              <w:t>£12,652.97</w:t>
            </w:r>
          </w:p>
        </w:tc>
      </w:tr>
    </w:tbl>
    <w:p w14:paraId="5B107E74" w14:textId="77777777" w:rsidR="001D03F5" w:rsidRPr="00171E99" w:rsidRDefault="001D03F5" w:rsidP="00573A1A">
      <w:pPr>
        <w:spacing w:after="0"/>
        <w:rPr>
          <w:rFonts w:cs="Calibri"/>
        </w:rPr>
      </w:pPr>
    </w:p>
    <w:p w14:paraId="75C6985D" w14:textId="6E5BABE7" w:rsidR="00573A1A" w:rsidRDefault="00573A1A" w:rsidP="00573A1A">
      <w:pPr>
        <w:spacing w:after="0"/>
        <w:rPr>
          <w:rFonts w:cs="Calibri"/>
        </w:rPr>
      </w:pPr>
      <w:r w:rsidRPr="00171E99">
        <w:rPr>
          <w:rFonts w:cs="Calibri"/>
        </w:rPr>
        <w:t>The Parish Council Precept for 202</w:t>
      </w:r>
      <w:r w:rsidR="001D03F5">
        <w:rPr>
          <w:rFonts w:cs="Calibri"/>
        </w:rPr>
        <w:t>2</w:t>
      </w:r>
      <w:r w:rsidRPr="00171E99">
        <w:rPr>
          <w:rFonts w:cs="Calibri"/>
        </w:rPr>
        <w:t>/2</w:t>
      </w:r>
      <w:r w:rsidR="001D03F5">
        <w:rPr>
          <w:rFonts w:cs="Calibri"/>
        </w:rPr>
        <w:t>3</w:t>
      </w:r>
      <w:r w:rsidRPr="00171E99">
        <w:rPr>
          <w:rFonts w:cs="Calibri"/>
        </w:rPr>
        <w:t xml:space="preserve"> (Band D property) </w:t>
      </w:r>
      <w:r w:rsidR="001D03F5">
        <w:rPr>
          <w:rFonts w:cs="Calibri"/>
        </w:rPr>
        <w:t>has slightly increased and will provide the Parish Council with £12,501</w:t>
      </w:r>
      <w:r w:rsidRPr="00171E99">
        <w:rPr>
          <w:rFonts w:cs="Calibri"/>
        </w:rPr>
        <w:t xml:space="preserve">. </w:t>
      </w:r>
    </w:p>
    <w:p w14:paraId="6A11F420" w14:textId="77777777" w:rsidR="001D03F5" w:rsidRPr="00171E99" w:rsidRDefault="001D03F5" w:rsidP="00573A1A">
      <w:pPr>
        <w:spacing w:after="0"/>
        <w:rPr>
          <w:rFonts w:cs="Calibri"/>
        </w:rPr>
      </w:pPr>
    </w:p>
    <w:p w14:paraId="5BA9EAAE" w14:textId="79DACF12" w:rsidR="002D7FEB" w:rsidRPr="002D7FEB" w:rsidRDefault="00573A1A" w:rsidP="002D7FEB">
      <w:pPr>
        <w:rPr>
          <w:rFonts w:cs="Calibri"/>
        </w:rPr>
      </w:pPr>
      <w:r w:rsidRPr="00171E99">
        <w:rPr>
          <w:rFonts w:cs="Calibri"/>
          <w:b/>
          <w:u w:val="single"/>
        </w:rPr>
        <w:t>Holly Cottage</w:t>
      </w:r>
      <w:r w:rsidRPr="00171E99">
        <w:rPr>
          <w:rFonts w:cs="Calibri"/>
        </w:rPr>
        <w:t xml:space="preserve"> – </w:t>
      </w:r>
      <w:r w:rsidR="002D7FEB">
        <w:rPr>
          <w:rFonts w:cs="Calibri"/>
        </w:rPr>
        <w:t>Holly Cottage prop</w:t>
      </w:r>
      <w:r w:rsidR="002D7FEB" w:rsidRPr="002D7FEB">
        <w:rPr>
          <w:rFonts w:cs="Calibri"/>
        </w:rPr>
        <w:t xml:space="preserve">erty was formally offered to CRPC in summer 2021 and it was resolved at the PC meeting on 2nd August 2021 to accept the gift. ﻿The conveyance of Holly Cottage to CRPC was completed on 17th September 2021. </w:t>
      </w:r>
    </w:p>
    <w:p w14:paraId="209CF74B" w14:textId="04C31F17" w:rsidR="002D7FEB" w:rsidRDefault="002D7FEB" w:rsidP="002D7FEB">
      <w:pPr>
        <w:spacing w:after="0"/>
        <w:rPr>
          <w:rFonts w:cs="Calibri"/>
        </w:rPr>
      </w:pPr>
      <w:r w:rsidRPr="002D7FEB">
        <w:rPr>
          <w:rFonts w:cs="Calibri"/>
        </w:rPr>
        <w:t xml:space="preserve">In October 2021 estimates for the refurbishment work were sought. Many contractors were too busy to even provide quotes to start work in 2022, but eventually 3 estimates were obtained. These were presented to the PC at the 6th December 2021 meeting, together with a full report. The PC approved an application for a loan for the refurbishment work to be made from the Public Works Loan Board for £180,000 and this was submitted in January 2022. Further details were requested by the PWLB in March 2022 and we have sought clarification as to when we expect to receive a decision. </w:t>
      </w:r>
    </w:p>
    <w:p w14:paraId="4C8C66CF" w14:textId="77777777" w:rsidR="00A41205" w:rsidRPr="002D7FEB" w:rsidRDefault="00A41205" w:rsidP="002D7FEB">
      <w:pPr>
        <w:spacing w:after="0"/>
        <w:rPr>
          <w:rFonts w:cs="Calibri"/>
        </w:rPr>
      </w:pPr>
    </w:p>
    <w:p w14:paraId="40C7C92B" w14:textId="2F0875C6" w:rsidR="002D7FEB" w:rsidRPr="002D7FEB" w:rsidRDefault="00A41205" w:rsidP="002D7FEB">
      <w:pPr>
        <w:spacing w:after="0"/>
        <w:rPr>
          <w:rFonts w:cs="Calibri"/>
        </w:rPr>
      </w:pPr>
      <w:r>
        <w:rPr>
          <w:rFonts w:cs="Calibri"/>
        </w:rPr>
        <w:lastRenderedPageBreak/>
        <w:t>The PC</w:t>
      </w:r>
      <w:r w:rsidR="002D7FEB" w:rsidRPr="002D7FEB">
        <w:rPr>
          <w:rFonts w:cs="Calibri"/>
        </w:rPr>
        <w:t xml:space="preserve"> ha</w:t>
      </w:r>
      <w:r>
        <w:rPr>
          <w:rFonts w:cs="Calibri"/>
        </w:rPr>
        <w:t>s</w:t>
      </w:r>
      <w:r w:rsidR="002D7FEB" w:rsidRPr="002D7FEB">
        <w:rPr>
          <w:rFonts w:cs="Calibri"/>
        </w:rPr>
        <w:t xml:space="preserve"> been working with the building contractor chosen for the project on plans and detailed quotes for refurbishment of the property to the standard required for rental, with at last a minimum Energy Performance Certificate E. The plans are a balancing act between conservation of character, energy efficiency and future maintenance. Work is commencing in May 2022. </w:t>
      </w:r>
    </w:p>
    <w:p w14:paraId="4D83B6E9" w14:textId="77777777" w:rsidR="00A41205" w:rsidRDefault="00A41205" w:rsidP="002D7FEB">
      <w:pPr>
        <w:spacing w:after="0"/>
        <w:rPr>
          <w:rFonts w:cs="Calibri"/>
        </w:rPr>
      </w:pPr>
    </w:p>
    <w:p w14:paraId="4B7D570E" w14:textId="558AEBC5" w:rsidR="002D7FEB" w:rsidRPr="002D7FEB" w:rsidRDefault="002D7FEB" w:rsidP="002D7FEB">
      <w:pPr>
        <w:spacing w:after="0"/>
        <w:rPr>
          <w:rFonts w:cs="Calibri"/>
        </w:rPr>
      </w:pPr>
      <w:r w:rsidRPr="002D7FEB">
        <w:rPr>
          <w:rFonts w:cs="Calibri"/>
        </w:rPr>
        <w:t xml:space="preserve">We are grateful to the great </w:t>
      </w:r>
      <w:r w:rsidR="00A41205">
        <w:rPr>
          <w:rFonts w:cs="Calibri"/>
        </w:rPr>
        <w:t>number</w:t>
      </w:r>
      <w:r w:rsidRPr="002D7FEB">
        <w:rPr>
          <w:rFonts w:cs="Calibri"/>
        </w:rPr>
        <w:t xml:space="preserve"> of volunteers who cleared years of overgrown garden in October 2021 and all those who have assisted in preparing the property ready for the building work.</w:t>
      </w:r>
    </w:p>
    <w:p w14:paraId="79EE7776" w14:textId="77777777" w:rsidR="00A41205" w:rsidRDefault="00A41205" w:rsidP="00573A1A">
      <w:pPr>
        <w:spacing w:after="0"/>
        <w:rPr>
          <w:rFonts w:cs="Calibri"/>
          <w:b/>
          <w:u w:val="single"/>
        </w:rPr>
      </w:pPr>
    </w:p>
    <w:p w14:paraId="40D605BB" w14:textId="510CFA63" w:rsidR="00573A1A" w:rsidRPr="00171E99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Grants</w:t>
      </w:r>
      <w:r w:rsidRPr="00171E99">
        <w:rPr>
          <w:rFonts w:cs="Calibri"/>
          <w:b/>
        </w:rPr>
        <w:t xml:space="preserve"> – </w:t>
      </w:r>
      <w:r w:rsidRPr="00171E99">
        <w:rPr>
          <w:rFonts w:cs="Calibri"/>
        </w:rPr>
        <w:t>The Parish Council awarded grants to the following organisations during the year</w:t>
      </w:r>
    </w:p>
    <w:p w14:paraId="3A3001F6" w14:textId="09AB4673" w:rsidR="00FA2E9A" w:rsidRPr="00171E99" w:rsidRDefault="00FA2E9A" w:rsidP="00573A1A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Westmorland Dales Love your Landscape - £3000</w:t>
      </w:r>
    </w:p>
    <w:p w14:paraId="55B71EDC" w14:textId="3ECB2594" w:rsidR="00573A1A" w:rsidRDefault="00174746" w:rsidP="00573A1A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PlayArea - £2000 (to be paid in 22/23)</w:t>
      </w:r>
    </w:p>
    <w:p w14:paraId="126D704A" w14:textId="77777777" w:rsidR="008D0E49" w:rsidRPr="00171E99" w:rsidRDefault="008D0E49" w:rsidP="008D0E49">
      <w:pPr>
        <w:pStyle w:val="ListParagraph"/>
        <w:spacing w:after="0"/>
        <w:rPr>
          <w:rFonts w:cs="Calibri"/>
        </w:rPr>
      </w:pPr>
    </w:p>
    <w:p w14:paraId="6D27C35F" w14:textId="50D231AE" w:rsidR="00573A1A" w:rsidRPr="00171E99" w:rsidRDefault="00573A1A" w:rsidP="00573A1A">
      <w:pPr>
        <w:spacing w:after="0"/>
        <w:rPr>
          <w:rFonts w:cs="Calibri"/>
        </w:rPr>
      </w:pPr>
      <w:r w:rsidRPr="00171E99">
        <w:rPr>
          <w:rFonts w:cs="Calibri"/>
          <w:b/>
          <w:u w:val="single"/>
        </w:rPr>
        <w:t>Administration</w:t>
      </w:r>
      <w:r w:rsidRPr="00171E99">
        <w:rPr>
          <w:rFonts w:cs="Calibri"/>
          <w:b/>
        </w:rPr>
        <w:t xml:space="preserve"> - </w:t>
      </w:r>
      <w:r w:rsidRPr="00171E99">
        <w:rPr>
          <w:rFonts w:cs="Calibri"/>
        </w:rPr>
        <w:t>The Parish Council received an unqualified audit with no matters arising.</w:t>
      </w:r>
      <w:r w:rsidR="002D7FEB">
        <w:rPr>
          <w:rFonts w:cs="Calibri"/>
        </w:rPr>
        <w:t xml:space="preserve"> This was completed on 24 Apr 22. </w:t>
      </w:r>
    </w:p>
    <w:p w14:paraId="297F1178" w14:textId="77777777" w:rsidR="00573A1A" w:rsidRPr="00171E99" w:rsidRDefault="00573A1A" w:rsidP="00573A1A">
      <w:pPr>
        <w:spacing w:after="0"/>
        <w:rPr>
          <w:rFonts w:cs="Calibri"/>
        </w:rPr>
      </w:pPr>
    </w:p>
    <w:p w14:paraId="0ACDE91C" w14:textId="77777777" w:rsidR="00573A1A" w:rsidRPr="00171E99" w:rsidRDefault="00573A1A" w:rsidP="00573A1A">
      <w:pPr>
        <w:spacing w:after="0"/>
        <w:rPr>
          <w:rFonts w:cs="Calibri"/>
          <w:b/>
        </w:rPr>
      </w:pPr>
    </w:p>
    <w:p w14:paraId="187499B6" w14:textId="77777777" w:rsidR="00573A1A" w:rsidRDefault="00573A1A" w:rsidP="00573A1A"/>
    <w:p w14:paraId="4C3999FB" w14:textId="77777777" w:rsidR="00573A1A" w:rsidRDefault="00573A1A" w:rsidP="00573A1A"/>
    <w:p w14:paraId="58D51B3B" w14:textId="5C43BC6B" w:rsidR="00573A1A" w:rsidRDefault="00573A1A" w:rsidP="00573A1A">
      <w:bookmarkStart w:id="0" w:name="_Hlk71659761"/>
      <w:r>
        <w:t>Chairman’s Signature</w:t>
      </w:r>
    </w:p>
    <w:p w14:paraId="0282999A" w14:textId="74ED90A2" w:rsidR="00573A1A" w:rsidRDefault="00A41205" w:rsidP="00573A1A">
      <w:pPr>
        <w:sectPr w:rsidR="00573A1A" w:rsidSect="00647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8" w:right="1440" w:bottom="1440" w:left="1440" w:header="708" w:footer="708" w:gutter="0"/>
          <w:cols w:space="708"/>
          <w:docGrid w:linePitch="360"/>
        </w:sectPr>
      </w:pPr>
      <w:r>
        <w:t>27 Apr 22</w:t>
      </w:r>
    </w:p>
    <w:bookmarkEnd w:id="0"/>
    <w:p w14:paraId="1CF34C22" w14:textId="77777777" w:rsidR="00A70C5E" w:rsidRPr="00573A1A" w:rsidRDefault="00A70C5E" w:rsidP="00573A1A"/>
    <w:sectPr w:rsidR="00A70C5E" w:rsidRPr="0057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3B6" w14:textId="77777777" w:rsidR="001F2E0B" w:rsidRDefault="001F2E0B" w:rsidP="00573A1A">
      <w:pPr>
        <w:spacing w:after="0" w:line="240" w:lineRule="auto"/>
      </w:pPr>
      <w:r>
        <w:separator/>
      </w:r>
    </w:p>
  </w:endnote>
  <w:endnote w:type="continuationSeparator" w:id="0">
    <w:p w14:paraId="54CEDB88" w14:textId="77777777" w:rsidR="001F2E0B" w:rsidRDefault="001F2E0B" w:rsidP="005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7B5F" w14:textId="77777777" w:rsidR="00573A1A" w:rsidRDefault="0057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E370" w14:textId="77777777" w:rsidR="008B2658" w:rsidRDefault="001F2E0B">
    <w:pPr>
      <w:pStyle w:val="Footer"/>
    </w:pPr>
  </w:p>
  <w:p w14:paraId="2DF82464" w14:textId="77777777" w:rsidR="00DE2F09" w:rsidRDefault="002748F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                                                                                                            Chairman’s Initials/Date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C36B" w14:textId="77777777" w:rsidR="00573A1A" w:rsidRDefault="0057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62B8" w14:textId="77777777" w:rsidR="001F2E0B" w:rsidRDefault="001F2E0B" w:rsidP="00573A1A">
      <w:pPr>
        <w:spacing w:after="0" w:line="240" w:lineRule="auto"/>
      </w:pPr>
      <w:r>
        <w:separator/>
      </w:r>
    </w:p>
  </w:footnote>
  <w:footnote w:type="continuationSeparator" w:id="0">
    <w:p w14:paraId="2D7D8D1B" w14:textId="77777777" w:rsidR="001F2E0B" w:rsidRDefault="001F2E0B" w:rsidP="005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52F5" w14:textId="77777777" w:rsidR="00573A1A" w:rsidRDefault="0057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04DD" w14:textId="2F9EE078" w:rsidR="00384069" w:rsidRDefault="00573A1A" w:rsidP="00FA3F4D">
    <w:pPr>
      <w:pStyle w:val="Header"/>
      <w:jc w:val="center"/>
      <w:rPr>
        <w:i/>
      </w:rPr>
    </w:pPr>
    <w:r w:rsidRPr="00D21000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4B6363" wp14:editId="1A9D80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10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0C0E1" w14:textId="77777777" w:rsidR="00384069" w:rsidRDefault="002748FD" w:rsidP="005C04C6">
                          <w:pPr>
                            <w:pStyle w:val="NormalWeb"/>
                            <w:jc w:val="center"/>
                          </w:pPr>
                          <w:r w:rsidRPr="00A3566D"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6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397.6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" o:allowincell="f" filled="f" stroked="f">
              <v:stroke joinstyle="round"/>
              <o:lock v:ext="edit" shapetype="t"/>
              <v:textbox style="mso-fit-shape-to-text:t">
                <w:txbxContent>
                  <w:p w14:paraId="5230C0E1" w14:textId="77777777" w:rsidR="00384069" w:rsidRDefault="002748FD" w:rsidP="005C04C6">
                    <w:pPr>
                      <w:pStyle w:val="NormalWeb"/>
                      <w:jc w:val="center"/>
                    </w:pPr>
                    <w:r w:rsidRPr="00A3566D"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748FD">
      <w:rPr>
        <w:i/>
        <w:noProof/>
      </w:rPr>
      <w:t xml:space="preserve">May </w:t>
    </w:r>
    <w:r>
      <w:rPr>
        <w:i/>
        <w:noProof/>
      </w:rPr>
      <w:t>9</w:t>
    </w:r>
    <w:r w:rsidR="002748FD" w:rsidRPr="00171E99">
      <w:rPr>
        <w:i/>
        <w:noProof/>
        <w:vertAlign w:val="superscript"/>
      </w:rPr>
      <w:t>t</w:t>
    </w:r>
    <w:r w:rsidR="002748FD">
      <w:rPr>
        <w:i/>
        <w:noProof/>
        <w:vertAlign w:val="superscript"/>
      </w:rPr>
      <w:t>h</w:t>
    </w:r>
    <w:r w:rsidR="002748FD">
      <w:rPr>
        <w:i/>
        <w:noProof/>
      </w:rPr>
      <w:t>, 202</w:t>
    </w:r>
    <w:r>
      <w:rPr>
        <w:i/>
        <w:noProof/>
      </w:rPr>
      <w:t>2</w:t>
    </w:r>
    <w:r w:rsidR="002748FD" w:rsidRPr="00D21000">
      <w:rPr>
        <w:i/>
      </w:rPr>
      <w:t xml:space="preserve">, </w:t>
    </w:r>
    <w:r w:rsidR="002748FD">
      <w:rPr>
        <w:i/>
      </w:rPr>
      <w:t>Annual (Electors’) Meeting of Crosby Ravensworth Parish Council.</w:t>
    </w:r>
  </w:p>
  <w:p w14:paraId="5169709E" w14:textId="77777777" w:rsidR="00384069" w:rsidRPr="00E75771" w:rsidRDefault="001F2E0B" w:rsidP="00E75771">
    <w:pPr>
      <w:pStyle w:val="Header"/>
      <w:jc w:val="center"/>
      <w:rPr>
        <w:i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95FC" w14:textId="77777777" w:rsidR="00573A1A" w:rsidRDefault="0057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2D"/>
    <w:multiLevelType w:val="hybridMultilevel"/>
    <w:tmpl w:val="9D46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F77"/>
    <w:multiLevelType w:val="hybridMultilevel"/>
    <w:tmpl w:val="DC60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3E3"/>
    <w:multiLevelType w:val="hybridMultilevel"/>
    <w:tmpl w:val="DE52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74933">
    <w:abstractNumId w:val="0"/>
  </w:num>
  <w:num w:numId="2" w16cid:durableId="1470054776">
    <w:abstractNumId w:val="1"/>
  </w:num>
  <w:num w:numId="3" w16cid:durableId="126969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1A"/>
    <w:rsid w:val="00174746"/>
    <w:rsid w:val="001D03F5"/>
    <w:rsid w:val="001E2F27"/>
    <w:rsid w:val="001F2E0B"/>
    <w:rsid w:val="002748FD"/>
    <w:rsid w:val="002D7FEB"/>
    <w:rsid w:val="00390EFF"/>
    <w:rsid w:val="00477475"/>
    <w:rsid w:val="00552FFA"/>
    <w:rsid w:val="00573A1A"/>
    <w:rsid w:val="006A6565"/>
    <w:rsid w:val="007F3A2E"/>
    <w:rsid w:val="008D0E49"/>
    <w:rsid w:val="00A41205"/>
    <w:rsid w:val="00A70C5E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1430A"/>
  <w15:chartTrackingRefBased/>
  <w15:docId w15:val="{A331ABBF-B160-4E26-9BD7-18D6B2C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1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3A1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3A1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3A1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73A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7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F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FE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barnes</dc:creator>
  <cp:keywords/>
  <dc:description/>
  <cp:lastModifiedBy>christian barnes</cp:lastModifiedBy>
  <cp:revision>9</cp:revision>
  <dcterms:created xsi:type="dcterms:W3CDTF">2022-04-26T18:23:00Z</dcterms:created>
  <dcterms:modified xsi:type="dcterms:W3CDTF">2022-04-27T08:23:00Z</dcterms:modified>
</cp:coreProperties>
</file>